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533" w:rsidRPr="00066533" w:rsidRDefault="00066533" w:rsidP="00066533">
      <w:pPr>
        <w:shd w:val="clear" w:color="auto" w:fill="FFFFFF"/>
        <w:spacing w:before="120" w:after="120" w:line="240" w:lineRule="auto"/>
        <w:rPr>
          <w:rFonts w:ascii="Arial" w:eastAsia="Times New Roman" w:hAnsi="Arial" w:cs="Arial"/>
          <w:color w:val="222222"/>
          <w:sz w:val="40"/>
          <w:szCs w:val="40"/>
          <w:lang w:eastAsia="it-IT"/>
        </w:rPr>
      </w:pPr>
      <w:r w:rsidRPr="00066533">
        <w:rPr>
          <w:rFonts w:ascii="Arial" w:eastAsia="Times New Roman" w:hAnsi="Arial" w:cs="Arial"/>
          <w:color w:val="222222"/>
          <w:sz w:val="40"/>
          <w:szCs w:val="40"/>
          <w:lang w:eastAsia="it-IT"/>
        </w:rPr>
        <w:t>ALLEGATO 13</w:t>
      </w:r>
    </w:p>
    <w:p w:rsidR="00066533" w:rsidRDefault="00066533" w:rsidP="00066533">
      <w:pPr>
        <w:shd w:val="clear" w:color="auto" w:fill="FFFFFF"/>
        <w:spacing w:before="120" w:after="120" w:line="240" w:lineRule="auto"/>
        <w:rPr>
          <w:rFonts w:ascii="Arial" w:eastAsia="Times New Roman" w:hAnsi="Arial" w:cs="Arial"/>
          <w:color w:val="222222"/>
          <w:sz w:val="21"/>
          <w:szCs w:val="21"/>
          <w:lang w:eastAsia="it-IT"/>
        </w:rPr>
      </w:pPr>
    </w:p>
    <w:p w:rsidR="00066533" w:rsidRPr="00066533" w:rsidRDefault="00066533" w:rsidP="00066533">
      <w:pPr>
        <w:shd w:val="clear" w:color="auto" w:fill="FFFFFF"/>
        <w:spacing w:before="120" w:after="120" w:line="240" w:lineRule="auto"/>
        <w:rPr>
          <w:rFonts w:ascii="Arial" w:eastAsia="Times New Roman" w:hAnsi="Arial" w:cs="Arial"/>
          <w:color w:val="222222"/>
          <w:sz w:val="32"/>
          <w:szCs w:val="32"/>
          <w:lang w:eastAsia="it-IT"/>
        </w:rPr>
      </w:pPr>
      <w:r w:rsidRPr="00066533">
        <w:rPr>
          <w:rFonts w:ascii="Arial" w:eastAsia="Times New Roman" w:hAnsi="Arial" w:cs="Arial"/>
          <w:color w:val="222222"/>
          <w:sz w:val="32"/>
          <w:szCs w:val="32"/>
          <w:lang w:eastAsia="it-IT"/>
        </w:rPr>
        <w:t xml:space="preserve">P. </w:t>
      </w:r>
      <w:proofErr w:type="spellStart"/>
      <w:r w:rsidRPr="00066533">
        <w:rPr>
          <w:rFonts w:ascii="Arial" w:eastAsia="Times New Roman" w:hAnsi="Arial" w:cs="Arial"/>
          <w:color w:val="222222"/>
          <w:sz w:val="32"/>
          <w:szCs w:val="32"/>
          <w:lang w:eastAsia="it-IT"/>
        </w:rPr>
        <w:t>Bruegel</w:t>
      </w:r>
      <w:proofErr w:type="spellEnd"/>
      <w:r w:rsidRPr="00066533">
        <w:rPr>
          <w:rFonts w:ascii="Arial" w:eastAsia="Times New Roman" w:hAnsi="Arial" w:cs="Arial"/>
          <w:color w:val="222222"/>
          <w:sz w:val="32"/>
          <w:szCs w:val="32"/>
          <w:lang w:eastAsia="it-IT"/>
        </w:rPr>
        <w:t xml:space="preserve"> il Vecchio, </w:t>
      </w:r>
      <w:r w:rsidRPr="00066533">
        <w:rPr>
          <w:rFonts w:ascii="Arial" w:eastAsia="Times New Roman" w:hAnsi="Arial" w:cs="Arial"/>
          <w:b/>
          <w:i/>
          <w:color w:val="222222"/>
          <w:sz w:val="32"/>
          <w:szCs w:val="32"/>
          <w:lang w:eastAsia="it-IT"/>
        </w:rPr>
        <w:t>Banchetto nuziale</w:t>
      </w:r>
      <w:r w:rsidRPr="00066533">
        <w:rPr>
          <w:rFonts w:ascii="Arial" w:eastAsia="Times New Roman" w:hAnsi="Arial" w:cs="Arial"/>
          <w:color w:val="222222"/>
          <w:sz w:val="32"/>
          <w:szCs w:val="32"/>
          <w:lang w:eastAsia="it-IT"/>
        </w:rPr>
        <w:t>, olio su tavola, 1568,</w:t>
      </w:r>
    </w:p>
    <w:p w:rsidR="00066533" w:rsidRPr="00066533" w:rsidRDefault="00066533" w:rsidP="00066533">
      <w:pPr>
        <w:shd w:val="clear" w:color="auto" w:fill="FFFFFF"/>
        <w:spacing w:before="120" w:after="120" w:line="240" w:lineRule="auto"/>
        <w:rPr>
          <w:rFonts w:ascii="Arial" w:eastAsia="Times New Roman" w:hAnsi="Arial" w:cs="Arial"/>
          <w:color w:val="222222"/>
          <w:sz w:val="28"/>
          <w:szCs w:val="28"/>
          <w:lang w:eastAsia="it-IT"/>
        </w:rPr>
      </w:pPr>
      <w:r>
        <w:rPr>
          <w:rFonts w:ascii="Arial" w:eastAsia="Times New Roman" w:hAnsi="Arial" w:cs="Arial"/>
          <w:color w:val="222222"/>
          <w:sz w:val="28"/>
          <w:szCs w:val="28"/>
          <w:lang w:eastAsia="it-IT"/>
        </w:rPr>
        <w:t xml:space="preserve"> </w:t>
      </w:r>
      <w:proofErr w:type="spellStart"/>
      <w:r>
        <w:rPr>
          <w:rFonts w:ascii="Arial" w:eastAsia="Times New Roman" w:hAnsi="Arial" w:cs="Arial"/>
          <w:color w:val="222222"/>
          <w:sz w:val="28"/>
          <w:szCs w:val="28"/>
          <w:lang w:eastAsia="it-IT"/>
        </w:rPr>
        <w:t>Kunsthistirsches</w:t>
      </w:r>
      <w:proofErr w:type="spellEnd"/>
      <w:r>
        <w:rPr>
          <w:rFonts w:ascii="Arial" w:eastAsia="Times New Roman" w:hAnsi="Arial" w:cs="Arial"/>
          <w:color w:val="222222"/>
          <w:sz w:val="28"/>
          <w:szCs w:val="28"/>
          <w:lang w:eastAsia="it-IT"/>
        </w:rPr>
        <w:t xml:space="preserve"> </w:t>
      </w:r>
      <w:proofErr w:type="spellStart"/>
      <w:r>
        <w:rPr>
          <w:rFonts w:ascii="Arial" w:eastAsia="Times New Roman" w:hAnsi="Arial" w:cs="Arial"/>
          <w:color w:val="222222"/>
          <w:sz w:val="28"/>
          <w:szCs w:val="28"/>
          <w:lang w:eastAsia="it-IT"/>
        </w:rPr>
        <w:t>Museum</w:t>
      </w:r>
      <w:proofErr w:type="spellEnd"/>
      <w:r>
        <w:rPr>
          <w:rFonts w:ascii="Arial" w:eastAsia="Times New Roman" w:hAnsi="Arial" w:cs="Arial"/>
          <w:color w:val="222222"/>
          <w:sz w:val="28"/>
          <w:szCs w:val="28"/>
          <w:lang w:eastAsia="it-IT"/>
        </w:rPr>
        <w:t xml:space="preserve"> (Vienna</w:t>
      </w:r>
      <w:r w:rsidRPr="00066533">
        <w:rPr>
          <w:rFonts w:ascii="Arial" w:eastAsia="Times New Roman" w:hAnsi="Arial" w:cs="Arial"/>
          <w:color w:val="222222"/>
          <w:sz w:val="28"/>
          <w:szCs w:val="28"/>
          <w:lang w:eastAsia="it-IT"/>
        </w:rPr>
        <w:t>)</w:t>
      </w:r>
    </w:p>
    <w:p w:rsidR="00066533" w:rsidRPr="00066533" w:rsidRDefault="00066533" w:rsidP="00066533">
      <w:pPr>
        <w:shd w:val="clear" w:color="auto" w:fill="FFFFFF"/>
        <w:spacing w:before="120" w:after="120" w:line="240" w:lineRule="auto"/>
        <w:rPr>
          <w:rFonts w:ascii="Arial" w:eastAsia="Times New Roman" w:hAnsi="Arial" w:cs="Arial"/>
          <w:color w:val="222222"/>
          <w:sz w:val="28"/>
          <w:szCs w:val="28"/>
          <w:lang w:eastAsia="it-IT"/>
        </w:rPr>
      </w:pPr>
    </w:p>
    <w:p w:rsidR="00066533" w:rsidRDefault="00066533" w:rsidP="00066533">
      <w:pPr>
        <w:shd w:val="clear" w:color="auto" w:fill="FFFFFF"/>
        <w:spacing w:before="120" w:after="120" w:line="240" w:lineRule="auto"/>
        <w:rPr>
          <w:rFonts w:ascii="Arial" w:eastAsia="Times New Roman" w:hAnsi="Arial" w:cs="Arial"/>
          <w:color w:val="222222"/>
          <w:sz w:val="21"/>
          <w:szCs w:val="21"/>
          <w:lang w:eastAsia="it-IT"/>
        </w:rPr>
      </w:pPr>
    </w:p>
    <w:p w:rsidR="00066533" w:rsidRDefault="00066533" w:rsidP="00066533">
      <w:pPr>
        <w:shd w:val="clear" w:color="auto" w:fill="FFFFFF"/>
        <w:spacing w:before="120" w:after="120" w:line="240" w:lineRule="auto"/>
        <w:rPr>
          <w:rFonts w:ascii="Arial" w:eastAsia="Times New Roman" w:hAnsi="Arial" w:cs="Arial"/>
          <w:color w:val="222222"/>
          <w:sz w:val="21"/>
          <w:szCs w:val="21"/>
          <w:lang w:eastAsia="it-IT"/>
        </w:rPr>
      </w:pPr>
    </w:p>
    <w:p w:rsidR="00066533" w:rsidRDefault="00066533" w:rsidP="00066533">
      <w:pPr>
        <w:shd w:val="clear" w:color="auto" w:fill="FFFFFF"/>
        <w:spacing w:before="120" w:after="120" w:line="240" w:lineRule="auto"/>
        <w:rPr>
          <w:rFonts w:ascii="Arial" w:eastAsia="Times New Roman" w:hAnsi="Arial" w:cs="Arial"/>
          <w:color w:val="222222"/>
          <w:sz w:val="21"/>
          <w:szCs w:val="21"/>
          <w:lang w:eastAsia="it-IT"/>
        </w:rPr>
      </w:pPr>
      <w:r>
        <w:rPr>
          <w:noProof/>
          <w:lang w:eastAsia="it-IT"/>
        </w:rPr>
        <w:drawing>
          <wp:inline distT="0" distB="0" distL="0" distR="0" wp14:anchorId="63072186" wp14:editId="5CE801FA">
            <wp:extent cx="6120130" cy="4273891"/>
            <wp:effectExtent l="0" t="0" r="0" b="0"/>
            <wp:docPr id="1" name="Immagine 1" descr="Risultati immagini per banchetto nuziale Bruegel il vecch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banchetto nuziale Bruegel il vecchi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20130" cy="4273891"/>
                    </a:xfrm>
                    <a:prstGeom prst="rect">
                      <a:avLst/>
                    </a:prstGeom>
                    <a:noFill/>
                    <a:ln>
                      <a:noFill/>
                    </a:ln>
                  </pic:spPr>
                </pic:pic>
              </a:graphicData>
            </a:graphic>
          </wp:inline>
        </w:drawing>
      </w:r>
    </w:p>
    <w:p w:rsidR="00066533" w:rsidRPr="00066533" w:rsidRDefault="00066533" w:rsidP="00066533">
      <w:pPr>
        <w:shd w:val="clear" w:color="auto" w:fill="FFFFFF"/>
        <w:spacing w:before="120" w:after="120" w:line="240" w:lineRule="auto"/>
        <w:rPr>
          <w:rFonts w:eastAsia="Times New Roman" w:cstheme="minorHAnsi"/>
          <w:color w:val="222222"/>
          <w:sz w:val="28"/>
          <w:szCs w:val="28"/>
          <w:lang w:eastAsia="it-IT"/>
        </w:rPr>
      </w:pPr>
    </w:p>
    <w:p w:rsidR="00066533" w:rsidRPr="00066533" w:rsidRDefault="00066533" w:rsidP="00066533">
      <w:pPr>
        <w:shd w:val="clear" w:color="auto" w:fill="FFFFFF"/>
        <w:spacing w:before="120" w:after="120" w:line="240" w:lineRule="auto"/>
        <w:rPr>
          <w:rFonts w:eastAsia="Times New Roman" w:cstheme="minorHAnsi"/>
          <w:color w:val="222222"/>
          <w:sz w:val="28"/>
          <w:szCs w:val="28"/>
          <w:lang w:eastAsia="it-IT"/>
        </w:rPr>
      </w:pPr>
      <w:r w:rsidRPr="00066533">
        <w:rPr>
          <w:rFonts w:eastAsia="Times New Roman" w:cstheme="minorHAnsi"/>
          <w:color w:val="222222"/>
          <w:sz w:val="28"/>
          <w:szCs w:val="28"/>
          <w:lang w:eastAsia="it-IT"/>
        </w:rPr>
        <w:t>L'opera doveva essere un tempo firmata e datata, ma la decurtazione di circa 5 cm nella parte inferiore (</w:t>
      </w:r>
      <w:hyperlink r:id="rId5" w:tooltip="1660" w:history="1">
        <w:r w:rsidRPr="00066533">
          <w:rPr>
            <w:rFonts w:eastAsia="Times New Roman" w:cstheme="minorHAnsi"/>
            <w:color w:val="0B0080"/>
            <w:sz w:val="28"/>
            <w:szCs w:val="28"/>
            <w:u w:val="single"/>
            <w:lang w:eastAsia="it-IT"/>
          </w:rPr>
          <w:t>1660</w:t>
        </w:r>
      </w:hyperlink>
      <w:r w:rsidRPr="00066533">
        <w:rPr>
          <w:rFonts w:eastAsia="Times New Roman" w:cstheme="minorHAnsi"/>
          <w:color w:val="222222"/>
          <w:sz w:val="28"/>
          <w:szCs w:val="28"/>
          <w:lang w:eastAsia="it-IT"/>
        </w:rPr>
        <w:t>), per adeguarla alle dimensioni della </w:t>
      </w:r>
      <w:hyperlink r:id="rId6" w:tooltip="Danza di contadini" w:history="1">
        <w:r w:rsidRPr="00066533">
          <w:rPr>
            <w:rFonts w:eastAsia="Times New Roman" w:cstheme="minorHAnsi"/>
            <w:i/>
            <w:iCs/>
            <w:color w:val="0B0080"/>
            <w:sz w:val="28"/>
            <w:szCs w:val="28"/>
            <w:u w:val="single"/>
            <w:lang w:eastAsia="it-IT"/>
          </w:rPr>
          <w:t>Danza di contadini</w:t>
        </w:r>
      </w:hyperlink>
      <w:r w:rsidRPr="00066533">
        <w:rPr>
          <w:rFonts w:eastAsia="Times New Roman" w:cstheme="minorHAnsi"/>
          <w:color w:val="222222"/>
          <w:sz w:val="28"/>
          <w:szCs w:val="28"/>
          <w:lang w:eastAsia="it-IT"/>
        </w:rPr>
        <w:t>, ha tagliato via tale memoria.</w:t>
      </w:r>
    </w:p>
    <w:p w:rsidR="00066533" w:rsidRDefault="00066533" w:rsidP="00066533">
      <w:pPr>
        <w:shd w:val="clear" w:color="auto" w:fill="FFFFFF"/>
        <w:spacing w:before="120" w:after="120" w:line="240" w:lineRule="auto"/>
        <w:rPr>
          <w:rFonts w:eastAsia="Times New Roman" w:cstheme="minorHAnsi"/>
          <w:color w:val="222222"/>
          <w:sz w:val="28"/>
          <w:szCs w:val="28"/>
          <w:lang w:eastAsia="it-IT"/>
        </w:rPr>
      </w:pPr>
      <w:r w:rsidRPr="00066533">
        <w:rPr>
          <w:rFonts w:eastAsia="Times New Roman" w:cstheme="minorHAnsi"/>
          <w:color w:val="222222"/>
          <w:sz w:val="28"/>
          <w:szCs w:val="28"/>
          <w:lang w:eastAsia="it-IT"/>
        </w:rPr>
        <w:t>Nel </w:t>
      </w:r>
      <w:hyperlink r:id="rId7" w:tooltip="1594" w:history="1">
        <w:r w:rsidRPr="00066533">
          <w:rPr>
            <w:rFonts w:eastAsia="Times New Roman" w:cstheme="minorHAnsi"/>
            <w:color w:val="0B0080"/>
            <w:sz w:val="28"/>
            <w:szCs w:val="28"/>
            <w:u w:val="single"/>
            <w:lang w:eastAsia="it-IT"/>
          </w:rPr>
          <w:t>1594</w:t>
        </w:r>
      </w:hyperlink>
      <w:r w:rsidRPr="00066533">
        <w:rPr>
          <w:rFonts w:eastAsia="Times New Roman" w:cstheme="minorHAnsi"/>
          <w:color w:val="222222"/>
          <w:sz w:val="28"/>
          <w:szCs w:val="28"/>
          <w:lang w:eastAsia="it-IT"/>
        </w:rPr>
        <w:t> venne acquistata a </w:t>
      </w:r>
      <w:hyperlink r:id="rId8" w:tooltip="Bruxelles" w:history="1">
        <w:r w:rsidRPr="00066533">
          <w:rPr>
            <w:rFonts w:eastAsia="Times New Roman" w:cstheme="minorHAnsi"/>
            <w:color w:val="0B0080"/>
            <w:sz w:val="28"/>
            <w:szCs w:val="28"/>
            <w:u w:val="single"/>
            <w:lang w:eastAsia="it-IT"/>
          </w:rPr>
          <w:t>Bruxelles</w:t>
        </w:r>
      </w:hyperlink>
      <w:r w:rsidRPr="00066533">
        <w:rPr>
          <w:rFonts w:eastAsia="Times New Roman" w:cstheme="minorHAnsi"/>
          <w:color w:val="222222"/>
          <w:sz w:val="28"/>
          <w:szCs w:val="28"/>
          <w:lang w:eastAsia="it-IT"/>
        </w:rPr>
        <w:t> dall'arciduca </w:t>
      </w:r>
      <w:hyperlink r:id="rId9" w:tooltip="Ernesto d'Asburgo" w:history="1">
        <w:r w:rsidRPr="00066533">
          <w:rPr>
            <w:rFonts w:eastAsia="Times New Roman" w:cstheme="minorHAnsi"/>
            <w:color w:val="0B0080"/>
            <w:sz w:val="28"/>
            <w:szCs w:val="28"/>
            <w:u w:val="single"/>
            <w:lang w:eastAsia="it-IT"/>
          </w:rPr>
          <w:t>Ernesto d'Asburgo</w:t>
        </w:r>
      </w:hyperlink>
      <w:r w:rsidRPr="00066533">
        <w:rPr>
          <w:rFonts w:eastAsia="Times New Roman" w:cstheme="minorHAnsi"/>
          <w:color w:val="222222"/>
          <w:sz w:val="28"/>
          <w:szCs w:val="28"/>
          <w:lang w:eastAsia="it-IT"/>
        </w:rPr>
        <w:t> e nel </w:t>
      </w:r>
      <w:hyperlink r:id="rId10" w:tooltip="1659" w:history="1">
        <w:r w:rsidRPr="00066533">
          <w:rPr>
            <w:rFonts w:eastAsia="Times New Roman" w:cstheme="minorHAnsi"/>
            <w:color w:val="0B0080"/>
            <w:sz w:val="28"/>
            <w:szCs w:val="28"/>
            <w:u w:val="single"/>
            <w:lang w:eastAsia="it-IT"/>
          </w:rPr>
          <w:t>1659</w:t>
        </w:r>
      </w:hyperlink>
      <w:r w:rsidRPr="00066533">
        <w:rPr>
          <w:rFonts w:eastAsia="Times New Roman" w:cstheme="minorHAnsi"/>
          <w:color w:val="222222"/>
          <w:sz w:val="28"/>
          <w:szCs w:val="28"/>
          <w:lang w:eastAsia="it-IT"/>
        </w:rPr>
        <w:t> l'opera è registrata nelle collezioni dell'arciduca </w:t>
      </w:r>
      <w:hyperlink r:id="rId11" w:tooltip="Leopoldo Guglielmo d'Asburgo" w:history="1">
        <w:r w:rsidRPr="00066533">
          <w:rPr>
            <w:rFonts w:eastAsia="Times New Roman" w:cstheme="minorHAnsi"/>
            <w:color w:val="0B0080"/>
            <w:sz w:val="28"/>
            <w:szCs w:val="28"/>
            <w:u w:val="single"/>
            <w:lang w:eastAsia="it-IT"/>
          </w:rPr>
          <w:t>Leopoldo Guglielmo</w:t>
        </w:r>
      </w:hyperlink>
      <w:r w:rsidRPr="00066533">
        <w:rPr>
          <w:rFonts w:eastAsia="Times New Roman" w:cstheme="minorHAnsi"/>
          <w:color w:val="222222"/>
          <w:sz w:val="28"/>
          <w:szCs w:val="28"/>
          <w:lang w:eastAsia="it-IT"/>
        </w:rPr>
        <w:t>. Non è chiaro se le due tavole vennero dipinte come </w:t>
      </w:r>
      <w:r w:rsidRPr="00066533">
        <w:rPr>
          <w:rFonts w:eastAsia="Times New Roman" w:cstheme="minorHAnsi"/>
          <w:i/>
          <w:iCs/>
          <w:color w:val="222222"/>
          <w:sz w:val="28"/>
          <w:szCs w:val="28"/>
          <w:lang w:eastAsia="it-IT"/>
        </w:rPr>
        <w:t>pendants</w:t>
      </w:r>
      <w:r w:rsidRPr="00066533">
        <w:rPr>
          <w:rFonts w:eastAsia="Times New Roman" w:cstheme="minorHAnsi"/>
          <w:color w:val="222222"/>
          <w:sz w:val="28"/>
          <w:szCs w:val="28"/>
          <w:lang w:eastAsia="it-IT"/>
        </w:rPr>
        <w:t>, ma è anche probabile che fossero le prime due di una serie a tema nuziale.</w:t>
      </w:r>
    </w:p>
    <w:p w:rsidR="00066533" w:rsidRDefault="00066533" w:rsidP="00066533">
      <w:pPr>
        <w:shd w:val="clear" w:color="auto" w:fill="FFFFFF"/>
        <w:spacing w:before="120" w:after="120" w:line="240" w:lineRule="auto"/>
        <w:rPr>
          <w:rFonts w:eastAsia="Times New Roman" w:cstheme="minorHAnsi"/>
          <w:color w:val="222222"/>
          <w:sz w:val="28"/>
          <w:szCs w:val="28"/>
          <w:lang w:eastAsia="it-IT"/>
        </w:rPr>
      </w:pPr>
    </w:p>
    <w:p w:rsidR="00066533" w:rsidRPr="00066533" w:rsidRDefault="00066533" w:rsidP="00066533">
      <w:pPr>
        <w:shd w:val="clear" w:color="auto" w:fill="FFFFFF"/>
        <w:spacing w:before="120" w:after="120" w:line="240" w:lineRule="auto"/>
        <w:rPr>
          <w:rFonts w:eastAsia="Times New Roman" w:cstheme="minorHAnsi"/>
          <w:color w:val="222222"/>
          <w:sz w:val="28"/>
          <w:szCs w:val="28"/>
          <w:lang w:eastAsia="it-IT"/>
        </w:rPr>
      </w:pPr>
    </w:p>
    <w:p w:rsidR="00066533" w:rsidRPr="00066533" w:rsidRDefault="00066533" w:rsidP="00066533">
      <w:pPr>
        <w:pBdr>
          <w:bottom w:val="single" w:sz="6" w:space="0" w:color="A2A9B1"/>
        </w:pBdr>
        <w:shd w:val="clear" w:color="auto" w:fill="FFFFFF"/>
        <w:spacing w:before="240" w:after="60" w:line="240" w:lineRule="auto"/>
        <w:outlineLvl w:val="1"/>
        <w:rPr>
          <w:rFonts w:eastAsia="Times New Roman" w:cstheme="minorHAnsi"/>
          <w:color w:val="000000"/>
          <w:sz w:val="28"/>
          <w:szCs w:val="28"/>
          <w:lang w:eastAsia="it-IT"/>
        </w:rPr>
      </w:pPr>
      <w:r w:rsidRPr="00066533">
        <w:rPr>
          <w:rFonts w:eastAsia="Times New Roman" w:cstheme="minorHAnsi"/>
          <w:color w:val="000000"/>
          <w:sz w:val="28"/>
          <w:szCs w:val="28"/>
          <w:lang w:eastAsia="it-IT"/>
        </w:rPr>
        <w:lastRenderedPageBreak/>
        <w:t>Descrizione e stile</w:t>
      </w:r>
    </w:p>
    <w:p w:rsidR="00066533" w:rsidRPr="00066533" w:rsidRDefault="00066533" w:rsidP="00066533">
      <w:pPr>
        <w:shd w:val="clear" w:color="auto" w:fill="FFFFFF"/>
        <w:spacing w:before="120" w:after="120" w:line="240" w:lineRule="auto"/>
        <w:rPr>
          <w:rFonts w:eastAsia="Times New Roman" w:cstheme="minorHAnsi"/>
          <w:color w:val="222222"/>
          <w:sz w:val="28"/>
          <w:szCs w:val="28"/>
          <w:lang w:eastAsia="it-IT"/>
        </w:rPr>
      </w:pPr>
      <w:r w:rsidRPr="00066533">
        <w:rPr>
          <w:rFonts w:eastAsia="Times New Roman" w:cstheme="minorHAnsi"/>
          <w:color w:val="222222"/>
          <w:sz w:val="28"/>
          <w:szCs w:val="28"/>
          <w:lang w:eastAsia="it-IT"/>
        </w:rPr>
        <w:t>Dentro un grande edificio, forse un granaio o un pagliaio, si sta svolgendo il pranzo nuziale di una coppia di contadini. La sposa è ben visibile davanti al telo verde appeso alle sue spalle (un elemento che si trova anche in molte Madonne fiamminghe) e indossa la corona con aria vagamente sognante, accanto ai genitori (il padre indossa il mantello foderato di pelliccia ed ha una sedia preminente rispetto alle altre panche); lo sposo secondo la tradizione deve servire ai tavoli ed è forse da identificarsi con l'u</w:t>
      </w:r>
      <w:r>
        <w:rPr>
          <w:rFonts w:eastAsia="Times New Roman" w:cstheme="minorHAnsi"/>
          <w:color w:val="222222"/>
          <w:sz w:val="28"/>
          <w:szCs w:val="28"/>
          <w:lang w:eastAsia="it-IT"/>
        </w:rPr>
        <w:t>omo che sta versando della birra</w:t>
      </w:r>
      <w:r>
        <w:rPr>
          <w:rFonts w:eastAsia="Times New Roman" w:cstheme="minorHAnsi"/>
          <w:color w:val="0B0080"/>
          <w:sz w:val="28"/>
          <w:szCs w:val="28"/>
          <w:u w:val="single"/>
          <w:vertAlign w:val="superscript"/>
          <w:lang w:eastAsia="it-IT"/>
        </w:rPr>
        <w:t xml:space="preserve"> </w:t>
      </w:r>
      <w:r w:rsidRPr="00066533">
        <w:rPr>
          <w:rFonts w:eastAsia="Times New Roman" w:cstheme="minorHAnsi"/>
          <w:color w:val="222222"/>
          <w:sz w:val="28"/>
          <w:szCs w:val="28"/>
          <w:lang w:eastAsia="it-IT"/>
        </w:rPr>
        <w:t>(probabilmente </w:t>
      </w:r>
      <w:proofErr w:type="spellStart"/>
      <w:r w:rsidRPr="00066533">
        <w:rPr>
          <w:rFonts w:eastAsia="Times New Roman" w:cstheme="minorHAnsi"/>
          <w:color w:val="222222"/>
          <w:sz w:val="28"/>
          <w:szCs w:val="28"/>
          <w:lang w:eastAsia="it-IT"/>
        </w:rPr>
        <w:fldChar w:fldCharType="begin"/>
      </w:r>
      <w:r w:rsidRPr="00066533">
        <w:rPr>
          <w:rFonts w:eastAsia="Times New Roman" w:cstheme="minorHAnsi"/>
          <w:color w:val="222222"/>
          <w:sz w:val="28"/>
          <w:szCs w:val="28"/>
          <w:lang w:eastAsia="it-IT"/>
        </w:rPr>
        <w:instrText xml:space="preserve"> HYPERLINK "https://it.wikipedia.org/wiki/Lambic" \o "Lambic" </w:instrText>
      </w:r>
      <w:r w:rsidRPr="00066533">
        <w:rPr>
          <w:rFonts w:eastAsia="Times New Roman" w:cstheme="minorHAnsi"/>
          <w:color w:val="222222"/>
          <w:sz w:val="28"/>
          <w:szCs w:val="28"/>
          <w:lang w:eastAsia="it-IT"/>
        </w:rPr>
        <w:fldChar w:fldCharType="separate"/>
      </w:r>
      <w:r w:rsidRPr="00066533">
        <w:rPr>
          <w:rFonts w:eastAsia="Times New Roman" w:cstheme="minorHAnsi"/>
          <w:color w:val="0B0080"/>
          <w:sz w:val="28"/>
          <w:szCs w:val="28"/>
          <w:u w:val="single"/>
          <w:lang w:eastAsia="it-IT"/>
        </w:rPr>
        <w:t>lambic</w:t>
      </w:r>
      <w:proofErr w:type="spellEnd"/>
      <w:r w:rsidRPr="00066533">
        <w:rPr>
          <w:rFonts w:eastAsia="Times New Roman" w:cstheme="minorHAnsi"/>
          <w:color w:val="222222"/>
          <w:sz w:val="28"/>
          <w:szCs w:val="28"/>
          <w:lang w:eastAsia="it-IT"/>
        </w:rPr>
        <w:fldChar w:fldCharType="end"/>
      </w:r>
      <w:r>
        <w:rPr>
          <w:rFonts w:eastAsia="Times New Roman" w:cstheme="minorHAnsi"/>
          <w:color w:val="222222"/>
          <w:sz w:val="28"/>
          <w:szCs w:val="28"/>
          <w:lang w:eastAsia="it-IT"/>
        </w:rPr>
        <w:t xml:space="preserve"> )</w:t>
      </w:r>
      <w:bookmarkStart w:id="0" w:name="_GoBack"/>
      <w:bookmarkEnd w:id="0"/>
      <w:r w:rsidRPr="00066533">
        <w:rPr>
          <w:rFonts w:eastAsia="Times New Roman" w:cstheme="minorHAnsi"/>
          <w:color w:val="222222"/>
          <w:sz w:val="28"/>
          <w:szCs w:val="28"/>
          <w:lang w:eastAsia="it-IT"/>
        </w:rPr>
        <w:t> in una brocca all'estrema sinistra, o con quello dal berretto rosso che si volta al centro per prendere le scodelle col cibo (forse polenta, data la rigidità che sembra mantenere, specialmente nel piatto che viene servito dal presunto sposo) e passarle ai convitati, portate da sue inservienti su un rudimentale vassoio fatto d'assi.</w:t>
      </w:r>
    </w:p>
    <w:p w:rsidR="00066533" w:rsidRPr="00066533" w:rsidRDefault="00066533" w:rsidP="00066533">
      <w:pPr>
        <w:shd w:val="clear" w:color="auto" w:fill="FFFFFF"/>
        <w:spacing w:before="120" w:after="120" w:line="240" w:lineRule="auto"/>
        <w:rPr>
          <w:rFonts w:eastAsia="Times New Roman" w:cstheme="minorHAnsi"/>
          <w:color w:val="222222"/>
          <w:sz w:val="28"/>
          <w:szCs w:val="28"/>
          <w:lang w:eastAsia="it-IT"/>
        </w:rPr>
      </w:pPr>
      <w:r w:rsidRPr="00066533">
        <w:rPr>
          <w:rFonts w:eastAsia="Times New Roman" w:cstheme="minorHAnsi"/>
          <w:color w:val="222222"/>
          <w:sz w:val="28"/>
          <w:szCs w:val="28"/>
          <w:lang w:eastAsia="it-IT"/>
        </w:rPr>
        <w:t xml:space="preserve">In primo piano si vede un bambino che sta leccando un piatto, indossante un berrettone con piuma di pavone che gli copre gli occhi. Lo sguardo dello spettatore è guidato in profondità dalla posizione obliqua della tavola, lungo la quale si allineano i vari ospiti, ciascuno ritratto nella sua singolarità. Un cane spunta da sotto la tavola, vicino a un prelato che sta discutendo con un uomo dalla barba rossa di profilo: qualcuno lo ha indicato come un possibile autoritratto di </w:t>
      </w:r>
      <w:proofErr w:type="spellStart"/>
      <w:r w:rsidRPr="00066533">
        <w:rPr>
          <w:rFonts w:eastAsia="Times New Roman" w:cstheme="minorHAnsi"/>
          <w:color w:val="222222"/>
          <w:sz w:val="28"/>
          <w:szCs w:val="28"/>
          <w:lang w:eastAsia="it-IT"/>
        </w:rPr>
        <w:t>Bruegel</w:t>
      </w:r>
      <w:proofErr w:type="spellEnd"/>
      <w:r w:rsidRPr="00066533">
        <w:rPr>
          <w:rFonts w:eastAsia="Times New Roman" w:cstheme="minorHAnsi"/>
          <w:color w:val="222222"/>
          <w:sz w:val="28"/>
          <w:szCs w:val="28"/>
          <w:lang w:eastAsia="it-IT"/>
        </w:rPr>
        <w:t>. In quest'opera non è forse un caso che l'autore sembri sciogliere, infine, quel distacco verso i suoi personaggi che l'aveva caratterizzato, partecipando in qualche misura alla gioia dell'evento.</w:t>
      </w:r>
    </w:p>
    <w:p w:rsidR="00066533" w:rsidRPr="00066533" w:rsidRDefault="00066533" w:rsidP="00066533">
      <w:pPr>
        <w:shd w:val="clear" w:color="auto" w:fill="FFFFFF"/>
        <w:spacing w:before="120" w:after="120" w:line="240" w:lineRule="auto"/>
        <w:rPr>
          <w:rFonts w:eastAsia="Times New Roman" w:cstheme="minorHAnsi"/>
          <w:color w:val="222222"/>
          <w:sz w:val="28"/>
          <w:szCs w:val="28"/>
          <w:lang w:eastAsia="it-IT"/>
        </w:rPr>
      </w:pPr>
      <w:r w:rsidRPr="00066533">
        <w:rPr>
          <w:rFonts w:eastAsia="Times New Roman" w:cstheme="minorHAnsi"/>
          <w:color w:val="222222"/>
          <w:sz w:val="28"/>
          <w:szCs w:val="28"/>
          <w:lang w:eastAsia="it-IT"/>
        </w:rPr>
        <w:t>Sempre in primo piano sono ben visibili due camerieri che trasportano un grande "vassoio" di legno con dei piatti. La grande curiosità di questa immagine è la posizione del piede sinistro del cameriere con la giubba rossa. Effettivamente si nota che "i piedi sinistri" in realtà sono ben due, uno un po' più arretrato, sotto il piano in legno, ed uno più avanzato quasi come l'altro. In realtà pare che l'artista non sapesse come posizionare quel piede, se in modo tale da far intendere a chi lo osservasse che quel cameriere si fosse fermato girandosi oppure stesse avanzando.</w:t>
      </w:r>
    </w:p>
    <w:p w:rsidR="00066533" w:rsidRPr="00066533" w:rsidRDefault="00066533" w:rsidP="00066533">
      <w:pPr>
        <w:shd w:val="clear" w:color="auto" w:fill="FFFFFF"/>
        <w:spacing w:before="120" w:after="120" w:line="240" w:lineRule="auto"/>
        <w:rPr>
          <w:rFonts w:eastAsia="Times New Roman" w:cstheme="minorHAnsi"/>
          <w:color w:val="222222"/>
          <w:sz w:val="28"/>
          <w:szCs w:val="28"/>
          <w:lang w:eastAsia="it-IT"/>
        </w:rPr>
      </w:pPr>
      <w:r w:rsidRPr="00066533">
        <w:rPr>
          <w:rFonts w:eastAsia="Times New Roman" w:cstheme="minorHAnsi"/>
          <w:color w:val="222222"/>
          <w:sz w:val="28"/>
          <w:szCs w:val="28"/>
          <w:lang w:eastAsia="it-IT"/>
        </w:rPr>
        <w:t>Due suonatori di </w:t>
      </w:r>
      <w:hyperlink r:id="rId12" w:tooltip="Zampogna" w:history="1">
        <w:r w:rsidRPr="00066533">
          <w:rPr>
            <w:rFonts w:eastAsia="Times New Roman" w:cstheme="minorHAnsi"/>
            <w:color w:val="0B0080"/>
            <w:sz w:val="28"/>
            <w:szCs w:val="28"/>
            <w:u w:val="single"/>
            <w:lang w:eastAsia="it-IT"/>
          </w:rPr>
          <w:t>zampogna</w:t>
        </w:r>
      </w:hyperlink>
      <w:r w:rsidRPr="00066533">
        <w:rPr>
          <w:rFonts w:eastAsia="Times New Roman" w:cstheme="minorHAnsi"/>
          <w:color w:val="222222"/>
          <w:sz w:val="28"/>
          <w:szCs w:val="28"/>
          <w:lang w:eastAsia="it-IT"/>
        </w:rPr>
        <w:t> stanno in piedi nel medio piano, e quello con la giubba rossa ha momentaneamente smesso di suonare e s'è girato ad osservare, con un'espressione di golosità, i piatti che i camerieri stanno servendo; in lontananza altri personaggi si accalcano alla porta e un bambino, seduto all'estremità del tavolo, si sta succhiando un dito.</w:t>
      </w:r>
    </w:p>
    <w:p w:rsidR="00066533" w:rsidRPr="00066533" w:rsidRDefault="00066533" w:rsidP="00066533">
      <w:pPr>
        <w:shd w:val="clear" w:color="auto" w:fill="FFFFFF"/>
        <w:spacing w:before="120" w:after="120" w:line="240" w:lineRule="auto"/>
        <w:rPr>
          <w:rFonts w:eastAsia="Times New Roman" w:cstheme="minorHAnsi"/>
          <w:color w:val="222222"/>
          <w:sz w:val="28"/>
          <w:szCs w:val="28"/>
          <w:lang w:eastAsia="it-IT"/>
        </w:rPr>
      </w:pPr>
      <w:r w:rsidRPr="00066533">
        <w:rPr>
          <w:rFonts w:eastAsia="Times New Roman" w:cstheme="minorHAnsi"/>
          <w:color w:val="222222"/>
          <w:sz w:val="28"/>
          <w:szCs w:val="28"/>
          <w:lang w:eastAsia="it-IT"/>
        </w:rPr>
        <w:t>La descrizione è quindi arricchita da molti dettagli quotidiani, che fanno dell'opera un prototipo per la </w:t>
      </w:r>
      <w:hyperlink r:id="rId13" w:tooltip="Pittura di genere" w:history="1">
        <w:r w:rsidRPr="00066533">
          <w:rPr>
            <w:rFonts w:eastAsia="Times New Roman" w:cstheme="minorHAnsi"/>
            <w:color w:val="0B0080"/>
            <w:sz w:val="28"/>
            <w:szCs w:val="28"/>
            <w:u w:val="single"/>
            <w:lang w:eastAsia="it-IT"/>
          </w:rPr>
          <w:t>pittura di genere</w:t>
        </w:r>
      </w:hyperlink>
      <w:r w:rsidRPr="00066533">
        <w:rPr>
          <w:rFonts w:eastAsia="Times New Roman" w:cstheme="minorHAnsi"/>
          <w:color w:val="222222"/>
          <w:sz w:val="28"/>
          <w:szCs w:val="28"/>
          <w:lang w:eastAsia="it-IT"/>
        </w:rPr>
        <w:t>.</w:t>
      </w:r>
    </w:p>
    <w:p w:rsidR="00CC29AB" w:rsidRPr="00066533" w:rsidRDefault="00CC29AB" w:rsidP="00066533">
      <w:pPr>
        <w:rPr>
          <w:rFonts w:cstheme="minorHAnsi"/>
          <w:sz w:val="28"/>
          <w:szCs w:val="28"/>
        </w:rPr>
      </w:pPr>
    </w:p>
    <w:sectPr w:rsidR="00CC29AB" w:rsidRPr="0006653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533"/>
    <w:rsid w:val="00066533"/>
    <w:rsid w:val="00CC29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B78778-02E6-422B-AAC4-E8B6C469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40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wikipedia.org/wiki/Bruxelles" TargetMode="External"/><Relationship Id="rId13" Type="http://schemas.openxmlformats.org/officeDocument/2006/relationships/hyperlink" Target="https://it.wikipedia.org/wiki/Pittura_di_genere" TargetMode="External"/><Relationship Id="rId3" Type="http://schemas.openxmlformats.org/officeDocument/2006/relationships/webSettings" Target="webSettings.xml"/><Relationship Id="rId7" Type="http://schemas.openxmlformats.org/officeDocument/2006/relationships/hyperlink" Target="https://it.wikipedia.org/wiki/1594" TargetMode="External"/><Relationship Id="rId12" Type="http://schemas.openxmlformats.org/officeDocument/2006/relationships/hyperlink" Target="https://it.wikipedia.org/wiki/Zampogn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t.wikipedia.org/wiki/Danza_di_contadini" TargetMode="External"/><Relationship Id="rId11" Type="http://schemas.openxmlformats.org/officeDocument/2006/relationships/hyperlink" Target="https://it.wikipedia.org/wiki/Leopoldo_Guglielmo_d%27Asburgo" TargetMode="External"/><Relationship Id="rId5" Type="http://schemas.openxmlformats.org/officeDocument/2006/relationships/hyperlink" Target="https://it.wikipedia.org/wiki/1660" TargetMode="External"/><Relationship Id="rId15" Type="http://schemas.openxmlformats.org/officeDocument/2006/relationships/theme" Target="theme/theme1.xml"/><Relationship Id="rId10" Type="http://schemas.openxmlformats.org/officeDocument/2006/relationships/hyperlink" Target="https://it.wikipedia.org/wiki/1659" TargetMode="External"/><Relationship Id="rId4" Type="http://schemas.openxmlformats.org/officeDocument/2006/relationships/image" Target="media/image1.jpeg"/><Relationship Id="rId9" Type="http://schemas.openxmlformats.org/officeDocument/2006/relationships/hyperlink" Target="https://it.wikipedia.org/wiki/Ernesto_d%27Asburgo"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603</Words>
  <Characters>3440</Characters>
  <Application>Microsoft Office Word</Application>
  <DocSecurity>0</DocSecurity>
  <Lines>28</Lines>
  <Paragraphs>8</Paragraphs>
  <ScaleCrop>false</ScaleCrop>
  <Company/>
  <LinksUpToDate>false</LinksUpToDate>
  <CharactersWithSpaces>4035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Mussini</dc:creator>
  <cp:keywords/>
  <dc:description/>
  <cp:lastModifiedBy>Rita Mussini</cp:lastModifiedBy>
  <cp:revision>2</cp:revision>
  <dcterms:created xsi:type="dcterms:W3CDTF">2019-09-03T19:54:00Z</dcterms:created>
  <dcterms:modified xsi:type="dcterms:W3CDTF">2019-09-03T20:00:00Z</dcterms:modified>
</cp:coreProperties>
</file>